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829A" w14:textId="25D39B73" w:rsidR="00027711" w:rsidRDefault="00027711" w:rsidP="00027711">
      <w:pPr>
        <w:spacing w:after="160" w:line="259" w:lineRule="auto"/>
        <w:rPr>
          <w:rFonts w:ascii="Myriad Pro" w:hAnsi="Myriad Pro"/>
          <w:b/>
          <w:sz w:val="28"/>
          <w:szCs w:val="28"/>
        </w:rPr>
      </w:pPr>
      <w:r w:rsidRPr="00162C05">
        <w:rPr>
          <w:rFonts w:ascii="Myriad Pro" w:hAnsi="Myriad Pro"/>
          <w:b/>
          <w:color w:val="0070C0"/>
          <w:sz w:val="28"/>
          <w:szCs w:val="28"/>
        </w:rPr>
        <w:t xml:space="preserve">Regional Needs Assessment </w:t>
      </w:r>
      <w:r>
        <w:rPr>
          <w:rFonts w:ascii="Myriad Pro" w:hAnsi="Myriad Pro"/>
          <w:b/>
          <w:color w:val="0070C0"/>
          <w:sz w:val="28"/>
          <w:szCs w:val="28"/>
        </w:rPr>
        <w:t>Supplement to Inform Updates:</w:t>
      </w:r>
      <w:r w:rsidRPr="00A00096">
        <w:rPr>
          <w:rFonts w:ascii="Myriad Pro" w:hAnsi="Myriad Pro"/>
          <w:b/>
          <w:sz w:val="28"/>
          <w:szCs w:val="28"/>
        </w:rPr>
        <w:t xml:space="preserve"> </w:t>
      </w:r>
      <w:r>
        <w:rPr>
          <w:rFonts w:ascii="Myriad Pro" w:hAnsi="Myriad Pro"/>
          <w:b/>
          <w:sz w:val="28"/>
          <w:szCs w:val="28"/>
        </w:rPr>
        <w:t>Considerations on the Region’s Needs Assessment Results from 202</w:t>
      </w:r>
      <w:r w:rsidR="007862B1">
        <w:rPr>
          <w:rFonts w:ascii="Myriad Pro" w:hAnsi="Myriad Pro"/>
          <w:b/>
          <w:sz w:val="28"/>
          <w:szCs w:val="28"/>
        </w:rPr>
        <w:t>3</w:t>
      </w:r>
    </w:p>
    <w:p w14:paraId="20D23220" w14:textId="77777777" w:rsidR="00027711" w:rsidRPr="00516522" w:rsidRDefault="00027711" w:rsidP="00027711">
      <w:pPr>
        <w:spacing w:after="160" w:line="259" w:lineRule="auto"/>
        <w:rPr>
          <w:rFonts w:ascii="Myriad Pro" w:hAnsi="Myriad Pro"/>
          <w:b/>
          <w:sz w:val="24"/>
          <w:szCs w:val="24"/>
        </w:rPr>
      </w:pPr>
      <w:r w:rsidRPr="00516522">
        <w:rPr>
          <w:rFonts w:ascii="Myriad Pro" w:hAnsi="Myriad Pro"/>
          <w:b/>
          <w:sz w:val="24"/>
          <w:szCs w:val="24"/>
        </w:rPr>
        <w:t>Goal</w:t>
      </w:r>
      <w:r w:rsidRPr="00516522">
        <w:rPr>
          <w:rFonts w:ascii="Myriad Pro" w:hAnsi="Myriad Pro"/>
          <w:bCs/>
          <w:sz w:val="24"/>
          <w:szCs w:val="24"/>
        </w:rPr>
        <w:t xml:space="preserve">: </w:t>
      </w:r>
      <w:r>
        <w:rPr>
          <w:rFonts w:ascii="Myriad Pro" w:hAnsi="Myriad Pro"/>
          <w:bCs/>
          <w:sz w:val="24"/>
          <w:szCs w:val="24"/>
        </w:rPr>
        <w:t xml:space="preserve">Consider whether (and which) updates may be needed to the comprehensive regional needs assessment.  </w:t>
      </w:r>
      <w:r w:rsidRPr="00516522">
        <w:rPr>
          <w:rFonts w:ascii="Myriad Pro" w:hAnsi="Myriad Pro"/>
          <w:b/>
          <w:sz w:val="24"/>
          <w:szCs w:val="24"/>
        </w:rPr>
        <w:t xml:space="preserve"> </w:t>
      </w:r>
    </w:p>
    <w:p w14:paraId="3AD9C9D8" w14:textId="77777777" w:rsidR="00027711" w:rsidRPr="000974CA" w:rsidRDefault="00027711" w:rsidP="00027711">
      <w:pPr>
        <w:jc w:val="both"/>
        <w:rPr>
          <w:rFonts w:ascii="Myriad Pro" w:hAnsi="Myriad Pro"/>
          <w:sz w:val="12"/>
          <w:szCs w:val="14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027711" w:rsidRPr="00516522" w14:paraId="272B4682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5021439A" w14:textId="57A1FF1D" w:rsidR="00027711" w:rsidRPr="00516522" w:rsidRDefault="00027711" w:rsidP="00B102B8">
            <w:pPr>
              <w:rPr>
                <w:rFonts w:ascii="Myriad Pro" w:hAnsi="Myriad Pro"/>
                <w:b/>
                <w:sz w:val="20"/>
              </w:rPr>
            </w:pPr>
            <w:r w:rsidRPr="00516522">
              <w:rPr>
                <w:rFonts w:ascii="Myriad Pro" w:hAnsi="Myriad Pro"/>
                <w:b/>
                <w:sz w:val="20"/>
              </w:rPr>
              <w:t xml:space="preserve">Strategies from </w:t>
            </w:r>
            <w:r>
              <w:rPr>
                <w:rFonts w:ascii="Myriad Pro" w:hAnsi="Myriad Pro"/>
                <w:b/>
                <w:sz w:val="20"/>
              </w:rPr>
              <w:t>20</w:t>
            </w:r>
            <w:r w:rsidR="00BA3FE0">
              <w:rPr>
                <w:rFonts w:ascii="Myriad Pro" w:hAnsi="Myriad Pro"/>
                <w:b/>
                <w:sz w:val="20"/>
              </w:rPr>
              <w:t>23</w:t>
            </w:r>
            <w:r>
              <w:rPr>
                <w:rFonts w:ascii="Myriad Pro" w:hAnsi="Myriad Pro"/>
                <w:b/>
                <w:sz w:val="20"/>
              </w:rPr>
              <w:t xml:space="preserve"> Regional Needs Assessment </w:t>
            </w:r>
            <w:r w:rsidR="00BA3FE0">
              <w:rPr>
                <w:rFonts w:ascii="Myriad Pro" w:hAnsi="Myriad Pro"/>
                <w:b/>
                <w:sz w:val="20"/>
              </w:rPr>
              <w:t>(refer to spreadsheet of strategies)</w:t>
            </w:r>
          </w:p>
        </w:tc>
      </w:tr>
      <w:tr w:rsidR="00027711" w:rsidRPr="00D92282" w14:paraId="7167AF48" w14:textId="77777777" w:rsidTr="00B102B8">
        <w:tc>
          <w:tcPr>
            <w:tcW w:w="13405" w:type="dxa"/>
          </w:tcPr>
          <w:p w14:paraId="423CC1B8" w14:textId="77777777" w:rsidR="00027711" w:rsidRDefault="00027711" w:rsidP="00B102B8">
            <w:pPr>
              <w:rPr>
                <w:rFonts w:ascii="Courier New" w:hAnsi="Courier New" w:cs="Courier New"/>
                <w:b/>
                <w:color w:val="FFFFFF" w:themeColor="background1"/>
                <w:sz w:val="20"/>
                <w:szCs w:val="24"/>
              </w:rPr>
            </w:pPr>
          </w:p>
          <w:p w14:paraId="2FE0772D" w14:textId="77777777" w:rsidR="00027711" w:rsidRDefault="00027711" w:rsidP="00B102B8">
            <w:pPr>
              <w:rPr>
                <w:rFonts w:ascii="Courier New" w:hAnsi="Courier New" w:cs="Courier New"/>
                <w:b/>
                <w:color w:val="FFFFFF" w:themeColor="background1"/>
                <w:sz w:val="20"/>
                <w:szCs w:val="24"/>
              </w:rPr>
            </w:pPr>
          </w:p>
          <w:p w14:paraId="5148D030" w14:textId="77777777" w:rsidR="00027711" w:rsidRPr="00D92282" w:rsidRDefault="00027711" w:rsidP="00B102B8">
            <w:pPr>
              <w:rPr>
                <w:rFonts w:ascii="Courier New" w:hAnsi="Courier New" w:cs="Courier New"/>
                <w:b/>
                <w:color w:val="FFFFFF" w:themeColor="background1"/>
                <w:sz w:val="20"/>
                <w:szCs w:val="24"/>
              </w:rPr>
            </w:pPr>
          </w:p>
        </w:tc>
      </w:tr>
      <w:tr w:rsidR="00027711" w:rsidRPr="00162C05" w14:paraId="1E3A5381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31BC41F0" w14:textId="4CD26307" w:rsidR="00027711" w:rsidRPr="00162C05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 w:rsidRPr="00162C05">
              <w:rPr>
                <w:rFonts w:ascii="Myriad Pro" w:hAnsi="Myriad Pro"/>
                <w:b/>
                <w:bCs/>
                <w:sz w:val="20"/>
                <w:szCs w:val="24"/>
              </w:rPr>
              <w:t>1. How does our spending in our Perkins grant(s) align with the priorities identified by our 20</w:t>
            </w:r>
            <w:r w:rsidR="00BA3FE0">
              <w:rPr>
                <w:rFonts w:ascii="Myriad Pro" w:hAnsi="Myriad Pro"/>
                <w:b/>
                <w:bCs/>
                <w:sz w:val="20"/>
                <w:szCs w:val="24"/>
              </w:rPr>
              <w:t>23</w:t>
            </w:r>
            <w:r w:rsidRPr="00162C05">
              <w:rPr>
                <w:rFonts w:ascii="Myriad Pro" w:hAnsi="Myriad Pro"/>
                <w:b/>
                <w:bCs/>
                <w:sz w:val="20"/>
                <w:szCs w:val="24"/>
              </w:rPr>
              <w:t xml:space="preserve"> regional needs assessment? </w:t>
            </w:r>
          </w:p>
        </w:tc>
      </w:tr>
      <w:tr w:rsidR="00027711" w:rsidRPr="002F3E6E" w14:paraId="0784F1F6" w14:textId="77777777" w:rsidTr="00B102B8">
        <w:tc>
          <w:tcPr>
            <w:tcW w:w="13405" w:type="dxa"/>
          </w:tcPr>
          <w:p w14:paraId="3EA241FF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  <w:p w14:paraId="71CAAE13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027711" w:rsidRPr="00516522" w14:paraId="349A709B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124322CB" w14:textId="77777777" w:rsidR="00027711" w:rsidRPr="00516522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 xml:space="preserve">2. 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Where are the biggest gaps in performance for the needs identified? </w:t>
            </w:r>
          </w:p>
        </w:tc>
      </w:tr>
      <w:tr w:rsidR="00027711" w:rsidRPr="002F3E6E" w14:paraId="26991A66" w14:textId="77777777" w:rsidTr="00B102B8">
        <w:tc>
          <w:tcPr>
            <w:tcW w:w="13405" w:type="dxa"/>
          </w:tcPr>
          <w:p w14:paraId="23DEC041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  <w:p w14:paraId="33823E34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027711" w:rsidRPr="00516522" w14:paraId="5931FC88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5A9675CC" w14:textId="2E9A7BC9" w:rsidR="00027711" w:rsidRPr="00516522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 xml:space="preserve">3. 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>Expand on any infrastructure</w:t>
            </w:r>
            <w:r w:rsidR="00BA3FE0">
              <w:rPr>
                <w:rFonts w:ascii="Myriad Pro" w:hAnsi="Myriad Pro"/>
                <w:b/>
                <w:bCs/>
                <w:sz w:val="20"/>
                <w:szCs w:val="24"/>
              </w:rPr>
              <w:t>, policy changes,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 or other factors that need to be considered in our regional planning for the next two years as we continue to implement our four-year strategic plans?</w:t>
            </w:r>
          </w:p>
        </w:tc>
      </w:tr>
      <w:tr w:rsidR="00027711" w:rsidRPr="00516522" w14:paraId="738EDE98" w14:textId="77777777" w:rsidTr="00B102B8">
        <w:trPr>
          <w:trHeight w:val="629"/>
        </w:trPr>
        <w:tc>
          <w:tcPr>
            <w:tcW w:w="13405" w:type="dxa"/>
          </w:tcPr>
          <w:p w14:paraId="6DB1DD0C" w14:textId="77777777" w:rsidR="00027711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</w:p>
          <w:p w14:paraId="5B7A07EC" w14:textId="77777777" w:rsidR="00027711" w:rsidRPr="00516522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</w:p>
        </w:tc>
      </w:tr>
      <w:tr w:rsidR="00027711" w:rsidRPr="00516522" w14:paraId="1C1D8C67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4AFE62B5" w14:textId="77777777" w:rsidR="00027711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>
              <w:rPr>
                <w:rFonts w:ascii="Myriad Pro" w:hAnsi="Myriad Pro"/>
                <w:b/>
                <w:bCs/>
                <w:sz w:val="20"/>
                <w:szCs w:val="24"/>
              </w:rPr>
              <w:t>4</w:t>
            </w: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 xml:space="preserve">. What are the potential 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common </w:t>
            </w: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 xml:space="preserve">assets to 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>improve alignment for the next two years</w:t>
            </w: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>?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 </w:t>
            </w: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027711" w:rsidRPr="00516522" w14:paraId="7B04F1B6" w14:textId="77777777" w:rsidTr="00B102B8">
        <w:trPr>
          <w:trHeight w:val="611"/>
        </w:trPr>
        <w:tc>
          <w:tcPr>
            <w:tcW w:w="13405" w:type="dxa"/>
          </w:tcPr>
          <w:p w14:paraId="34A00C4F" w14:textId="77777777" w:rsidR="00027711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</w:p>
        </w:tc>
      </w:tr>
      <w:tr w:rsidR="00027711" w:rsidRPr="00516522" w14:paraId="7D8B325D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07B9CA1B" w14:textId="77777777" w:rsidR="00027711" w:rsidRPr="00516522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5. </w:t>
            </w: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 xml:space="preserve">What are the potential 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common </w:t>
            </w:r>
            <w:r w:rsidRPr="00516522">
              <w:rPr>
                <w:rFonts w:ascii="Myriad Pro" w:hAnsi="Myriad Pro"/>
                <w:b/>
                <w:bCs/>
                <w:sz w:val="20"/>
                <w:szCs w:val="24"/>
              </w:rPr>
              <w:t>barriers to accomplish the goal?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  What is the data NOT telling us?  What other information do we need?</w:t>
            </w:r>
          </w:p>
        </w:tc>
      </w:tr>
      <w:tr w:rsidR="00027711" w:rsidRPr="002F3E6E" w14:paraId="262EAA6E" w14:textId="77777777" w:rsidTr="00B102B8">
        <w:trPr>
          <w:trHeight w:val="629"/>
        </w:trPr>
        <w:tc>
          <w:tcPr>
            <w:tcW w:w="13405" w:type="dxa"/>
          </w:tcPr>
          <w:p w14:paraId="601821B4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  <w:p w14:paraId="18D1E344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  <w:p w14:paraId="47085842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027711" w:rsidRPr="00516522" w14:paraId="0EDCBB98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674CF841" w14:textId="001D397D" w:rsidR="00027711" w:rsidRPr="00516522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6. How have we relied on stakeholder feedback to inform this process?  Which </w:t>
            </w:r>
            <w:r w:rsidR="00BA3FE0">
              <w:rPr>
                <w:rFonts w:ascii="Myriad Pro" w:hAnsi="Myriad Pro"/>
                <w:b/>
                <w:bCs/>
                <w:sz w:val="20"/>
                <w:szCs w:val="24"/>
              </w:rPr>
              <w:t>constituents</w:t>
            </w:r>
            <w:r>
              <w:rPr>
                <w:rFonts w:ascii="Myriad Pro" w:hAnsi="Myriad Pro"/>
                <w:b/>
                <w:bCs/>
                <w:sz w:val="20"/>
                <w:szCs w:val="24"/>
              </w:rPr>
              <w:t xml:space="preserve"> have we engaged meaningfully in this work? </w:t>
            </w:r>
          </w:p>
        </w:tc>
      </w:tr>
      <w:tr w:rsidR="00027711" w14:paraId="2C7609B7" w14:textId="77777777" w:rsidTr="00B102B8">
        <w:trPr>
          <w:trHeight w:val="521"/>
        </w:trPr>
        <w:tc>
          <w:tcPr>
            <w:tcW w:w="13405" w:type="dxa"/>
          </w:tcPr>
          <w:p w14:paraId="451571DD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  <w:p w14:paraId="62BDF53D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</w:tc>
      </w:tr>
      <w:tr w:rsidR="00027711" w:rsidRPr="00516522" w14:paraId="3611EA3D" w14:textId="77777777" w:rsidTr="00B102B8">
        <w:tc>
          <w:tcPr>
            <w:tcW w:w="13405" w:type="dxa"/>
            <w:shd w:val="clear" w:color="auto" w:fill="C1E4F5" w:themeFill="accent1" w:themeFillTint="33"/>
          </w:tcPr>
          <w:p w14:paraId="475F822E" w14:textId="77777777" w:rsidR="00027711" w:rsidRPr="00516522" w:rsidRDefault="00027711" w:rsidP="00B102B8">
            <w:pPr>
              <w:jc w:val="both"/>
              <w:rPr>
                <w:rFonts w:ascii="Myriad Pro" w:hAnsi="Myriad Pro"/>
                <w:b/>
                <w:bCs/>
                <w:sz w:val="20"/>
                <w:szCs w:val="24"/>
              </w:rPr>
            </w:pPr>
            <w:r>
              <w:rPr>
                <w:rFonts w:ascii="Myriad Pro" w:hAnsi="Myriad Pro"/>
                <w:b/>
                <w:bCs/>
                <w:sz w:val="20"/>
                <w:szCs w:val="24"/>
              </w:rPr>
              <w:t>7. What shared stakeholders are needed for this goal to succeed?</w:t>
            </w:r>
          </w:p>
        </w:tc>
      </w:tr>
      <w:tr w:rsidR="00027711" w14:paraId="70FC679F" w14:textId="77777777" w:rsidTr="00B102B8">
        <w:tc>
          <w:tcPr>
            <w:tcW w:w="13405" w:type="dxa"/>
          </w:tcPr>
          <w:p w14:paraId="68540398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  <w:p w14:paraId="7A1ACB76" w14:textId="77777777" w:rsidR="00027711" w:rsidRDefault="00027711" w:rsidP="00B102B8">
            <w:pPr>
              <w:jc w:val="both"/>
              <w:rPr>
                <w:rFonts w:ascii="Myriad Pro" w:hAnsi="Myriad Pro"/>
                <w:sz w:val="20"/>
                <w:szCs w:val="24"/>
              </w:rPr>
            </w:pPr>
          </w:p>
        </w:tc>
      </w:tr>
    </w:tbl>
    <w:p w14:paraId="1E271036" w14:textId="77777777" w:rsidR="009511D0" w:rsidRDefault="009511D0"/>
    <w:sectPr w:rsidR="009511D0" w:rsidSect="0002771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E460" w14:textId="77777777" w:rsidR="00694648" w:rsidRDefault="00694648" w:rsidP="00027711">
      <w:r>
        <w:separator/>
      </w:r>
    </w:p>
  </w:endnote>
  <w:endnote w:type="continuationSeparator" w:id="0">
    <w:p w14:paraId="70A08C8B" w14:textId="77777777" w:rsidR="00694648" w:rsidRDefault="00694648" w:rsidP="0002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1F3F" w14:textId="77777777" w:rsidR="00694648" w:rsidRDefault="00694648" w:rsidP="00027711">
      <w:r>
        <w:separator/>
      </w:r>
    </w:p>
  </w:footnote>
  <w:footnote w:type="continuationSeparator" w:id="0">
    <w:p w14:paraId="684B268C" w14:textId="77777777" w:rsidR="00694648" w:rsidRDefault="00694648" w:rsidP="00027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9454" w14:textId="53BFAEF4" w:rsidR="00027711" w:rsidRDefault="000277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A7990F" wp14:editId="02BA16B1">
          <wp:simplePos x="0" y="0"/>
          <wp:positionH relativeFrom="page">
            <wp:posOffset>9182911</wp:posOffset>
          </wp:positionH>
          <wp:positionV relativeFrom="paragraph">
            <wp:posOffset>-262647</wp:posOffset>
          </wp:positionV>
          <wp:extent cx="603996" cy="603996"/>
          <wp:effectExtent l="0" t="0" r="0" b="0"/>
          <wp:wrapNone/>
          <wp:docPr id="42" name="Picture 42" descr="A logo with text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A logo with text and a circle&#10;&#10;AI-generated content may be incorrect.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96" cy="603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11"/>
    <w:rsid w:val="00027711"/>
    <w:rsid w:val="00694648"/>
    <w:rsid w:val="007862B1"/>
    <w:rsid w:val="007C272E"/>
    <w:rsid w:val="009511D0"/>
    <w:rsid w:val="009A511F"/>
    <w:rsid w:val="00BA3FE0"/>
    <w:rsid w:val="00BA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1288"/>
  <w15:chartTrackingRefBased/>
  <w15:docId w15:val="{812091D4-CC30-414A-9949-7E24D8D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1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7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7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7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7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7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71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71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71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71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71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71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71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7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77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71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71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Fickbohm, Emily</dc:creator>
  <cp:keywords/>
  <dc:description/>
  <cp:lastModifiedBy>Crownover, Victoria (CCCS)</cp:lastModifiedBy>
  <cp:revision>3</cp:revision>
  <dcterms:created xsi:type="dcterms:W3CDTF">2025-08-12T21:27:00Z</dcterms:created>
  <dcterms:modified xsi:type="dcterms:W3CDTF">2025-08-15T18:10:00Z</dcterms:modified>
</cp:coreProperties>
</file>